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Ind w:w="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6259"/>
      </w:tblGrid>
      <w:tr w:rsidR="00754718" w:rsidRPr="00754718" w14:paraId="57D2EAA7" w14:textId="77777777" w:rsidTr="007A77EC">
        <w:trPr>
          <w:trHeight w:val="326"/>
        </w:trPr>
        <w:tc>
          <w:tcPr>
            <w:tcW w:w="92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609C1" w14:textId="77777777" w:rsidR="00754718" w:rsidRPr="00754718" w:rsidRDefault="00754718" w:rsidP="00754718">
            <w:pPr>
              <w:autoSpaceDN/>
              <w:jc w:val="center"/>
              <w:textAlignment w:val="auto"/>
              <w:rPr>
                <w:rFonts w:ascii="Cambria" w:eastAsia="Times New Roman" w:hAnsi="Cambria" w:cs="Times New Roman"/>
                <w:kern w:val="0"/>
                <w:lang w:eastAsia="ar-SA" w:bidi="ar-SA"/>
              </w:rPr>
            </w:pPr>
            <w:r w:rsidRPr="00754718">
              <w:rPr>
                <w:rFonts w:ascii="Cambria" w:eastAsia="Times New Roman" w:hAnsi="Cambria" w:cs="Times New Roman"/>
                <w:noProof/>
                <w:kern w:val="0"/>
                <w:lang w:eastAsia="ar-SA" w:bidi="ar-SA"/>
              </w:rPr>
              <w:drawing>
                <wp:inline distT="0" distB="0" distL="0" distR="0" wp14:anchorId="251F14E0" wp14:editId="34709E48">
                  <wp:extent cx="876300" cy="97536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12C72" w14:textId="77777777" w:rsidR="00754718" w:rsidRPr="00754718" w:rsidRDefault="00754718" w:rsidP="00754718">
            <w:pPr>
              <w:autoSpaceDN/>
              <w:jc w:val="center"/>
              <w:textAlignment w:val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cs-CZ" w:bidi="ar-SA"/>
              </w:rPr>
            </w:pPr>
            <w:r w:rsidRPr="00754718">
              <w:rPr>
                <w:rFonts w:ascii="Cambria" w:eastAsia="Times New Roman" w:hAnsi="Cambria" w:cs="Times New Roman"/>
                <w:kern w:val="0"/>
                <w:lang w:eastAsia="ar-SA" w:bidi="ar-SA"/>
              </w:rPr>
              <w:t xml:space="preserve">Mateřská škola Milčice, Milčice 32, 28911, Pečky </w:t>
            </w:r>
          </w:p>
        </w:tc>
      </w:tr>
      <w:tr w:rsidR="00754718" w:rsidRPr="00754718" w14:paraId="5A69F0C8" w14:textId="77777777" w:rsidTr="007A77EC">
        <w:trPr>
          <w:trHeight w:val="326"/>
        </w:trPr>
        <w:tc>
          <w:tcPr>
            <w:tcW w:w="92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0EF52" w14:textId="77777777" w:rsidR="00754718" w:rsidRPr="00754718" w:rsidRDefault="00754718" w:rsidP="00754718">
            <w:pPr>
              <w:autoSpaceDN/>
              <w:jc w:val="center"/>
              <w:textAlignment w:val="auto"/>
              <w:rPr>
                <w:rFonts w:ascii="Cambria" w:eastAsia="Times New Roman" w:hAnsi="Cambria" w:cs="Arial"/>
                <w:b/>
                <w:kern w:val="0"/>
                <w:sz w:val="40"/>
                <w:szCs w:val="40"/>
                <w:lang w:eastAsia="ar-SA" w:bidi="ar-SA"/>
              </w:rPr>
            </w:pPr>
          </w:p>
        </w:tc>
      </w:tr>
      <w:tr w:rsidR="00754718" w:rsidRPr="00754718" w14:paraId="345F64EE" w14:textId="77777777" w:rsidTr="007A77EC">
        <w:trPr>
          <w:trHeight w:val="326"/>
        </w:trPr>
        <w:tc>
          <w:tcPr>
            <w:tcW w:w="2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471A40" w14:textId="366995A7" w:rsidR="00754718" w:rsidRPr="00754718" w:rsidRDefault="00754718" w:rsidP="00754718">
            <w:pPr>
              <w:autoSpaceDN/>
              <w:textAlignment w:val="auto"/>
              <w:rPr>
                <w:rFonts w:ascii="Cambria" w:eastAsia="Times New Roman" w:hAnsi="Cambria" w:cs="Arial"/>
                <w:kern w:val="0"/>
                <w:lang w:eastAsia="ar-SA" w:bidi="ar-SA"/>
              </w:rPr>
            </w:pPr>
            <w:r w:rsidRPr="00754718">
              <w:rPr>
                <w:rFonts w:ascii="Cambria" w:eastAsia="Times New Roman" w:hAnsi="Cambria" w:cs="Arial"/>
                <w:kern w:val="0"/>
                <w:lang w:eastAsia="ar-SA" w:bidi="ar-SA"/>
              </w:rPr>
              <w:t>Č.j.:</w:t>
            </w:r>
            <w:r>
              <w:rPr>
                <w:rFonts w:ascii="Cambria" w:eastAsia="Times New Roman" w:hAnsi="Cambria" w:cs="Arial"/>
                <w:kern w:val="0"/>
                <w:lang w:eastAsia="ar-SA" w:bidi="ar-SA"/>
              </w:rPr>
              <w:t xml:space="preserve"> MŠ/Mil/</w:t>
            </w:r>
            <w:r w:rsidR="00DC49E0">
              <w:rPr>
                <w:rFonts w:ascii="Cambria" w:eastAsia="Times New Roman" w:hAnsi="Cambria" w:cs="Arial"/>
                <w:kern w:val="0"/>
                <w:lang w:eastAsia="ar-SA" w:bidi="ar-SA"/>
              </w:rPr>
              <w:t>10</w:t>
            </w:r>
            <w:r>
              <w:rPr>
                <w:rFonts w:ascii="Cambria" w:eastAsia="Times New Roman" w:hAnsi="Cambria" w:cs="Arial"/>
                <w:kern w:val="0"/>
                <w:lang w:eastAsia="ar-SA" w:bidi="ar-SA"/>
              </w:rPr>
              <w:t>/2</w:t>
            </w:r>
            <w:r w:rsidR="00DC49E0">
              <w:rPr>
                <w:rFonts w:ascii="Cambria" w:eastAsia="Times New Roman" w:hAnsi="Cambria" w:cs="Arial"/>
                <w:kern w:val="0"/>
                <w:lang w:eastAsia="ar-SA" w:bidi="ar-SA"/>
              </w:rPr>
              <w:t>5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C6CAD1" w14:textId="4135E3FD" w:rsidR="00754718" w:rsidRPr="00754718" w:rsidRDefault="00754718" w:rsidP="00754718">
            <w:pPr>
              <w:autoSpaceDN/>
              <w:textAlignment w:val="auto"/>
              <w:rPr>
                <w:rFonts w:ascii="Calibri" w:eastAsia="Times New Roman" w:hAnsi="Calibri" w:cs="Arial"/>
                <w:kern w:val="0"/>
                <w:lang w:eastAsia="ar-SA" w:bidi="ar-SA"/>
              </w:rPr>
            </w:pPr>
            <w:r w:rsidRPr="00754718">
              <w:rPr>
                <w:rFonts w:ascii="Calibri" w:eastAsia="Times New Roman" w:hAnsi="Calibri" w:cs="Arial"/>
                <w:kern w:val="0"/>
                <w:lang w:eastAsia="ar-SA" w:bidi="ar-SA"/>
              </w:rPr>
              <w:t xml:space="preserve">Účinnost od: </w:t>
            </w:r>
            <w:r>
              <w:rPr>
                <w:rFonts w:ascii="Calibri" w:eastAsia="Times New Roman" w:hAnsi="Calibri" w:cs="Arial"/>
                <w:kern w:val="0"/>
                <w:lang w:eastAsia="ar-SA" w:bidi="ar-SA"/>
              </w:rPr>
              <w:t>1. 9. 202</w:t>
            </w:r>
            <w:r w:rsidR="00DC49E0">
              <w:rPr>
                <w:rFonts w:ascii="Calibri" w:eastAsia="Times New Roman" w:hAnsi="Calibri" w:cs="Arial"/>
                <w:kern w:val="0"/>
                <w:lang w:eastAsia="ar-SA" w:bidi="ar-SA"/>
              </w:rPr>
              <w:t>5</w:t>
            </w:r>
          </w:p>
        </w:tc>
      </w:tr>
      <w:tr w:rsidR="00754718" w:rsidRPr="00754718" w14:paraId="05E161ED" w14:textId="77777777" w:rsidTr="007A77EC">
        <w:trPr>
          <w:trHeight w:val="326"/>
        </w:trPr>
        <w:tc>
          <w:tcPr>
            <w:tcW w:w="2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AFD05B" w14:textId="0AEA9868" w:rsidR="00754718" w:rsidRPr="00754718" w:rsidRDefault="00754718" w:rsidP="00754718">
            <w:pPr>
              <w:autoSpaceDN/>
              <w:textAlignment w:val="auto"/>
              <w:rPr>
                <w:rFonts w:ascii="Cambria" w:eastAsia="Times New Roman" w:hAnsi="Cambria" w:cs="Arial"/>
                <w:kern w:val="0"/>
                <w:lang w:eastAsia="ar-SA" w:bidi="ar-SA"/>
              </w:rPr>
            </w:pPr>
            <w:r w:rsidRPr="00754718">
              <w:rPr>
                <w:rFonts w:ascii="Cambria" w:eastAsia="Times New Roman" w:hAnsi="Cambria" w:cs="Arial"/>
                <w:kern w:val="0"/>
                <w:lang w:eastAsia="ar-SA" w:bidi="ar-SA"/>
              </w:rPr>
              <w:t>Spisový znak:</w:t>
            </w:r>
            <w:r>
              <w:rPr>
                <w:rFonts w:ascii="Cambria" w:eastAsia="Times New Roman" w:hAnsi="Cambria" w:cs="Arial"/>
                <w:kern w:val="0"/>
                <w:lang w:eastAsia="ar-SA" w:bidi="ar-SA"/>
              </w:rPr>
              <w:t xml:space="preserve"> 2.1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D9215A" w14:textId="166B6FF1" w:rsidR="00754718" w:rsidRPr="00754718" w:rsidRDefault="00754718" w:rsidP="00754718">
            <w:pPr>
              <w:autoSpaceDN/>
              <w:textAlignment w:val="auto"/>
              <w:rPr>
                <w:rFonts w:ascii="Calibri" w:eastAsia="Times New Roman" w:hAnsi="Calibri" w:cs="Arial"/>
                <w:kern w:val="0"/>
                <w:lang w:eastAsia="ar-SA" w:bidi="ar-SA"/>
              </w:rPr>
            </w:pPr>
            <w:r w:rsidRPr="00754718">
              <w:rPr>
                <w:rFonts w:ascii="Calibri" w:eastAsia="Times New Roman" w:hAnsi="Calibri" w:cs="Arial"/>
                <w:kern w:val="0"/>
                <w:lang w:eastAsia="ar-SA" w:bidi="ar-SA"/>
              </w:rPr>
              <w:t xml:space="preserve">Skartační znak: </w:t>
            </w:r>
            <w:r>
              <w:rPr>
                <w:rFonts w:ascii="Calibri" w:eastAsia="Times New Roman" w:hAnsi="Calibri" w:cs="Arial"/>
                <w:kern w:val="0"/>
                <w:lang w:eastAsia="ar-SA" w:bidi="ar-SA"/>
              </w:rPr>
              <w:t>S5</w:t>
            </w:r>
          </w:p>
        </w:tc>
      </w:tr>
      <w:tr w:rsidR="00754718" w:rsidRPr="00754718" w14:paraId="3BFE0C35" w14:textId="77777777" w:rsidTr="007A77EC">
        <w:trPr>
          <w:trHeight w:val="326"/>
        </w:trPr>
        <w:tc>
          <w:tcPr>
            <w:tcW w:w="2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6679D" w14:textId="77777777" w:rsidR="00754718" w:rsidRPr="00754718" w:rsidRDefault="00754718" w:rsidP="00754718">
            <w:pPr>
              <w:autoSpaceDN/>
              <w:textAlignment w:val="auto"/>
              <w:rPr>
                <w:rFonts w:ascii="Cambria" w:eastAsia="Times New Roman" w:hAnsi="Cambria" w:cs="Arial"/>
                <w:kern w:val="0"/>
                <w:lang w:eastAsia="ar-SA" w:bidi="ar-SA"/>
              </w:rPr>
            </w:pPr>
            <w:r w:rsidRPr="00754718">
              <w:rPr>
                <w:rFonts w:ascii="Cambria" w:eastAsia="Times New Roman" w:hAnsi="Cambria" w:cs="Arial"/>
                <w:kern w:val="0"/>
                <w:lang w:eastAsia="ar-SA" w:bidi="ar-SA"/>
              </w:rPr>
              <w:t>Změny: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1B374" w14:textId="11D318F3" w:rsidR="00754718" w:rsidRPr="00754718" w:rsidRDefault="00754718" w:rsidP="00754718">
            <w:pPr>
              <w:autoSpaceDN/>
              <w:textAlignment w:val="auto"/>
              <w:rPr>
                <w:rFonts w:ascii="Calibri" w:eastAsia="Times New Roman" w:hAnsi="Calibri" w:cs="Arial"/>
                <w:kern w:val="0"/>
                <w:lang w:eastAsia="ar-SA" w:bidi="ar-SA"/>
              </w:rPr>
            </w:pPr>
            <w:r w:rsidRPr="00754718">
              <w:rPr>
                <w:rFonts w:ascii="Calibri" w:eastAsia="Times New Roman" w:hAnsi="Calibri" w:cs="Arial"/>
                <w:kern w:val="0"/>
                <w:lang w:eastAsia="ar-SA" w:bidi="ar-SA"/>
              </w:rPr>
              <w:t>Počet příloh:</w:t>
            </w:r>
            <w:r w:rsidR="004F46EE">
              <w:rPr>
                <w:rFonts w:ascii="Calibri" w:eastAsia="Times New Roman" w:hAnsi="Calibri" w:cs="Arial"/>
                <w:kern w:val="0"/>
                <w:lang w:eastAsia="ar-SA" w:bidi="ar-SA"/>
              </w:rPr>
              <w:t xml:space="preserve">  2</w:t>
            </w:r>
          </w:p>
        </w:tc>
      </w:tr>
    </w:tbl>
    <w:p w14:paraId="1C272765" w14:textId="77777777" w:rsidR="00754718" w:rsidRPr="00754718" w:rsidRDefault="00754718" w:rsidP="00754718">
      <w:pPr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51B7EA22" w14:textId="256440A3" w:rsidR="00A8175A" w:rsidRPr="00754718" w:rsidRDefault="00A8175A" w:rsidP="00754718">
      <w:pPr>
        <w:pStyle w:val="Default"/>
        <w:rPr>
          <w:b/>
          <w:sz w:val="20"/>
          <w:szCs w:val="20"/>
        </w:rPr>
      </w:pPr>
    </w:p>
    <w:p w14:paraId="179DF192" w14:textId="77777777" w:rsidR="00A8175A" w:rsidRDefault="00A8175A" w:rsidP="00A8175A">
      <w:pPr>
        <w:pStyle w:val="Default"/>
      </w:pPr>
      <w:r>
        <w:rPr>
          <w:b/>
          <w:sz w:val="18"/>
        </w:rPr>
        <w:t xml:space="preserve">    </w:t>
      </w:r>
    </w:p>
    <w:p w14:paraId="21493200" w14:textId="77777777" w:rsidR="00A8175A" w:rsidRDefault="00A8175A" w:rsidP="00A8175A">
      <w:pPr>
        <w:rPr>
          <w:rFonts w:hint="eastAsia"/>
        </w:rPr>
      </w:pPr>
    </w:p>
    <w:p w14:paraId="100FFA2D" w14:textId="77777777" w:rsidR="00A8175A" w:rsidRPr="0068228F" w:rsidRDefault="00A8175A" w:rsidP="00A8175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8228F">
        <w:rPr>
          <w:rFonts w:ascii="Times New Roman" w:hAnsi="Times New Roman" w:cs="Times New Roman"/>
          <w:b/>
          <w:bCs/>
          <w:sz w:val="28"/>
          <w:szCs w:val="28"/>
        </w:rPr>
        <w:t>STANOVENÍ VÝŠE ÚPLATY ZA PŘEDŠKOLNÍ VZDĚLÁVÁNÍ</w:t>
      </w:r>
    </w:p>
    <w:p w14:paraId="4FFD5176" w14:textId="49671390" w:rsidR="00A8175A" w:rsidRPr="00C6086D" w:rsidRDefault="00A8175A" w:rsidP="00A8175A">
      <w:pPr>
        <w:pStyle w:val="Default"/>
        <w:jc w:val="center"/>
        <w:rPr>
          <w:rFonts w:cs="Arial"/>
          <w:sz w:val="28"/>
          <w:szCs w:val="28"/>
        </w:rPr>
      </w:pPr>
      <w:r w:rsidRPr="0068228F">
        <w:rPr>
          <w:rFonts w:ascii="Times New Roman" w:hAnsi="Times New Roman" w:cs="Times New Roman"/>
          <w:b/>
          <w:bCs/>
          <w:sz w:val="28"/>
          <w:szCs w:val="28"/>
        </w:rPr>
        <w:t>VE ŠKOLNÍM ROCE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49E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DC49E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42AEFC9" w14:textId="77777777" w:rsidR="00A8175A" w:rsidRDefault="00A8175A" w:rsidP="00A8175A">
      <w:pPr>
        <w:rPr>
          <w:rFonts w:hint="eastAsia"/>
        </w:rPr>
      </w:pPr>
    </w:p>
    <w:p w14:paraId="3E3DDCA5" w14:textId="77777777" w:rsidR="00A8175A" w:rsidRDefault="00A8175A" w:rsidP="00A8175A">
      <w:pPr>
        <w:rPr>
          <w:rFonts w:hint="eastAsia"/>
        </w:rPr>
      </w:pPr>
    </w:p>
    <w:p w14:paraId="66466B9F" w14:textId="77777777" w:rsidR="00A8175A" w:rsidRPr="00C6086D" w:rsidRDefault="00A8175A" w:rsidP="00A8175A">
      <w:pPr>
        <w:pStyle w:val="Default"/>
        <w:jc w:val="center"/>
        <w:rPr>
          <w:rFonts w:cs="Arial"/>
        </w:rPr>
      </w:pPr>
      <w:r w:rsidRPr="00C6086D">
        <w:rPr>
          <w:rFonts w:cs="Arial"/>
          <w:b/>
          <w:bCs/>
        </w:rPr>
        <w:t>I.</w:t>
      </w:r>
    </w:p>
    <w:p w14:paraId="0DC04452" w14:textId="6CF1A762" w:rsidR="00A8175A" w:rsidRDefault="00754718" w:rsidP="00A8175A">
      <w:pPr>
        <w:pStyle w:val="Default"/>
        <w:jc w:val="both"/>
      </w:pPr>
      <w:r>
        <w:t xml:space="preserve">V souladu s § 123 odst. 4 zákona č. 561/2004 Sb., o předškolním, základním, středním, vyšším odborném a jiném vzdělávání (školský zákon), ve znění pozdějších předpisů, a podle § 6 odst. 2 vyhlášky č. 14/2005 Sb., o předškolním vzdělávání, ve znění pozdějších předpisů stanovuje úplatu zřizovatel. </w:t>
      </w:r>
      <w:r w:rsidR="00240397">
        <w:t>Dle projednání zastupitelstva obce Milčice</w:t>
      </w:r>
      <w:r w:rsidR="004F46EE">
        <w:t xml:space="preserve"> a rozhodnutí</w:t>
      </w:r>
      <w:r w:rsidR="00240397">
        <w:t xml:space="preserve"> starost</w:t>
      </w:r>
      <w:r w:rsidR="004F46EE">
        <w:t>y obce</w:t>
      </w:r>
      <w:r w:rsidR="00240397">
        <w:t xml:space="preserve"> Ing. Jakub</w:t>
      </w:r>
      <w:r w:rsidR="004F46EE">
        <w:t>a Douděry</w:t>
      </w:r>
      <w:r w:rsidR="00240397">
        <w:t xml:space="preserve"> byla </w:t>
      </w:r>
      <w:r w:rsidR="004F46EE">
        <w:t xml:space="preserve">její výše za předškolní vzdělávání dítěte v mateřské škole </w:t>
      </w:r>
    </w:p>
    <w:p w14:paraId="0924906A" w14:textId="77777777" w:rsidR="00754718" w:rsidRPr="00C6086D" w:rsidRDefault="00754718" w:rsidP="00A8175A">
      <w:pPr>
        <w:pStyle w:val="Default"/>
        <w:jc w:val="both"/>
        <w:rPr>
          <w:rFonts w:cs="Arial"/>
        </w:rPr>
      </w:pPr>
    </w:p>
    <w:p w14:paraId="2409B3F7" w14:textId="6630750E" w:rsidR="00A8175A" w:rsidRDefault="00240397" w:rsidP="00A8175A">
      <w:pPr>
        <w:pStyle w:val="Defaul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stanovena</w:t>
      </w:r>
    </w:p>
    <w:p w14:paraId="2D79CFB9" w14:textId="77777777" w:rsidR="004F46EE" w:rsidRDefault="004F46EE" w:rsidP="00A8175A">
      <w:pPr>
        <w:pStyle w:val="Default"/>
        <w:jc w:val="both"/>
        <w:rPr>
          <w:rFonts w:cs="Arial"/>
          <w:b/>
          <w:bCs/>
        </w:rPr>
      </w:pPr>
    </w:p>
    <w:p w14:paraId="5EA2193A" w14:textId="2C604F60" w:rsidR="00A8175A" w:rsidRPr="00C6086D" w:rsidRDefault="00A8175A" w:rsidP="00A8175A">
      <w:pPr>
        <w:pStyle w:val="Default"/>
        <w:jc w:val="both"/>
        <w:rPr>
          <w:rFonts w:cs="Arial"/>
        </w:rPr>
      </w:pPr>
      <w:r w:rsidRPr="00C6086D">
        <w:rPr>
          <w:rFonts w:cs="Arial"/>
        </w:rPr>
        <w:t xml:space="preserve">v částce </w:t>
      </w:r>
      <w:r w:rsidR="00DC49E0">
        <w:rPr>
          <w:rFonts w:cs="Arial"/>
          <w:b/>
        </w:rPr>
        <w:t>10</w:t>
      </w:r>
      <w:r w:rsidR="006429B6" w:rsidRPr="006429B6">
        <w:rPr>
          <w:rFonts w:cs="Arial"/>
          <w:b/>
        </w:rPr>
        <w:t>0</w:t>
      </w:r>
      <w:r w:rsidRPr="006429B6">
        <w:rPr>
          <w:rFonts w:cs="Arial"/>
          <w:b/>
          <w:bCs/>
        </w:rPr>
        <w:t>0</w:t>
      </w:r>
      <w:r w:rsidRPr="00C6086D">
        <w:rPr>
          <w:rFonts w:cs="Arial"/>
          <w:b/>
          <w:bCs/>
        </w:rPr>
        <w:t xml:space="preserve">,- Kč měsíčně </w:t>
      </w:r>
      <w:r w:rsidRPr="00C6086D">
        <w:rPr>
          <w:rFonts w:cs="Arial"/>
        </w:rPr>
        <w:t>pro období od 1. září 20</w:t>
      </w:r>
      <w:r>
        <w:rPr>
          <w:rFonts w:cs="Arial"/>
        </w:rPr>
        <w:t>2</w:t>
      </w:r>
      <w:r w:rsidR="00DC49E0">
        <w:rPr>
          <w:rFonts w:cs="Arial"/>
        </w:rPr>
        <w:t>5</w:t>
      </w:r>
      <w:r w:rsidRPr="00C6086D">
        <w:rPr>
          <w:rFonts w:cs="Arial"/>
        </w:rPr>
        <w:t xml:space="preserve"> do 31. srpna 20</w:t>
      </w:r>
      <w:r>
        <w:rPr>
          <w:rFonts w:cs="Arial"/>
        </w:rPr>
        <w:t>2</w:t>
      </w:r>
      <w:r w:rsidR="00DC49E0">
        <w:rPr>
          <w:rFonts w:cs="Arial"/>
        </w:rPr>
        <w:t>6</w:t>
      </w:r>
      <w:r w:rsidRPr="00C6086D">
        <w:rPr>
          <w:rFonts w:cs="Arial"/>
        </w:rPr>
        <w:t>.</w:t>
      </w:r>
    </w:p>
    <w:p w14:paraId="0BAEAC80" w14:textId="77777777" w:rsidR="00A8175A" w:rsidRDefault="00A8175A" w:rsidP="00A8175A">
      <w:pPr>
        <w:jc w:val="both"/>
        <w:rPr>
          <w:rFonts w:ascii="Arial" w:hAnsi="Arial" w:cs="Arial"/>
        </w:rPr>
      </w:pPr>
    </w:p>
    <w:p w14:paraId="471C6997" w14:textId="77777777" w:rsidR="00A8175A" w:rsidRPr="00C6086D" w:rsidRDefault="00A8175A" w:rsidP="00A8175A">
      <w:pPr>
        <w:pStyle w:val="Default"/>
        <w:jc w:val="center"/>
        <w:rPr>
          <w:rFonts w:cs="Arial"/>
        </w:rPr>
      </w:pPr>
      <w:r w:rsidRPr="00C6086D">
        <w:rPr>
          <w:rFonts w:cs="Arial"/>
          <w:b/>
          <w:bCs/>
        </w:rPr>
        <w:t>II.</w:t>
      </w:r>
    </w:p>
    <w:p w14:paraId="280B9D73" w14:textId="2BC4593F" w:rsidR="00A8175A" w:rsidRDefault="00A8175A" w:rsidP="00A8175A">
      <w:pPr>
        <w:pStyle w:val="Default"/>
        <w:jc w:val="both"/>
        <w:rPr>
          <w:rFonts w:cs="Arial"/>
        </w:rPr>
      </w:pPr>
      <w:r w:rsidRPr="00C6086D">
        <w:rPr>
          <w:rFonts w:cs="Arial"/>
        </w:rPr>
        <w:t xml:space="preserve">Vzdělávání v posledním povinném ročníku mateřské školy se podle § 123 školského zákona poskytuje bezúplatně. Jedná se o děti, které v období od 1. září do 31. srpna příslušného školního roku dovrší </w:t>
      </w:r>
      <w:r w:rsidR="00754718">
        <w:rPr>
          <w:rFonts w:cs="Arial"/>
        </w:rPr>
        <w:t>6</w:t>
      </w:r>
      <w:r w:rsidRPr="00C6086D">
        <w:rPr>
          <w:rFonts w:cs="Arial"/>
        </w:rPr>
        <w:t xml:space="preserve"> let věku. Dětem, kterým byl povolen odklad povinné školní docházky, se vzdělávání poskytuje rovněž bezúplatně. </w:t>
      </w:r>
    </w:p>
    <w:p w14:paraId="60A40537" w14:textId="77777777" w:rsidR="00A8175A" w:rsidRPr="00C6086D" w:rsidRDefault="00A8175A" w:rsidP="00A8175A">
      <w:pPr>
        <w:pStyle w:val="Default"/>
        <w:jc w:val="both"/>
        <w:rPr>
          <w:rFonts w:cs="Arial"/>
        </w:rPr>
      </w:pPr>
    </w:p>
    <w:p w14:paraId="0F68F0EA" w14:textId="77777777" w:rsidR="00A8175A" w:rsidRPr="00C6086D" w:rsidRDefault="00A8175A" w:rsidP="00A8175A">
      <w:pPr>
        <w:pStyle w:val="Default"/>
        <w:jc w:val="center"/>
        <w:rPr>
          <w:rFonts w:cs="Arial"/>
        </w:rPr>
      </w:pPr>
      <w:r w:rsidRPr="00C6086D">
        <w:rPr>
          <w:rFonts w:cs="Arial"/>
          <w:b/>
          <w:bCs/>
        </w:rPr>
        <w:t>III.</w:t>
      </w:r>
    </w:p>
    <w:p w14:paraId="223CB995" w14:textId="65A6C806" w:rsidR="00754718" w:rsidRDefault="00754718" w:rsidP="00A8175A">
      <w:pPr>
        <w:pStyle w:val="Default"/>
        <w:jc w:val="both"/>
      </w:pPr>
      <w:r>
        <w:t xml:space="preserve">Od úplaty za předškolní vzdělávání je </w:t>
      </w:r>
      <w:r w:rsidR="004F46EE">
        <w:t xml:space="preserve">dle novely vyhlášky č. 14/2005 Sb., o předškolním vzdělávání </w:t>
      </w:r>
      <w:r w:rsidR="00F13875">
        <w:t>o</w:t>
      </w:r>
      <w:r>
        <w:t xml:space="preserve">svobozen: </w:t>
      </w:r>
    </w:p>
    <w:p w14:paraId="67075988" w14:textId="77777777" w:rsidR="00754718" w:rsidRDefault="00754718" w:rsidP="00A8175A">
      <w:pPr>
        <w:pStyle w:val="Default"/>
        <w:jc w:val="both"/>
      </w:pPr>
      <w:r>
        <w:t xml:space="preserve">a) zákonný zástupce dítěte, který pobírá opakující se dávku pomoci v hmotné nouzi, b) zákonný zástupce nezaopatřeného dítěte, pokud tomuto dítěti náleží zvýšení příspěvku na péči, nebo přídavek na dítě, </w:t>
      </w:r>
    </w:p>
    <w:p w14:paraId="1EFCC032" w14:textId="77777777" w:rsidR="00754718" w:rsidRDefault="00754718" w:rsidP="00A8175A">
      <w:pPr>
        <w:pStyle w:val="Default"/>
        <w:jc w:val="both"/>
      </w:pPr>
      <w:r>
        <w:t xml:space="preserve">c) rodič, kterému náleží zvýšení příspěvku na péči z důvodu péče o nezaopatřené dítě, nebo </w:t>
      </w:r>
    </w:p>
    <w:p w14:paraId="16C430C0" w14:textId="77777777" w:rsidR="00240397" w:rsidRDefault="00754718" w:rsidP="00A8175A">
      <w:pPr>
        <w:pStyle w:val="Default"/>
        <w:jc w:val="both"/>
      </w:pPr>
      <w:r>
        <w:t xml:space="preserve">d) fyzická osoba, která o dítě osobně pečuje a z důvodu péče o toto dítě pobírá dávky pěstounské péče, </w:t>
      </w:r>
    </w:p>
    <w:p w14:paraId="232CC1A0" w14:textId="46ABDEC2" w:rsidR="00754718" w:rsidRDefault="00754718" w:rsidP="00A8175A">
      <w:pPr>
        <w:pStyle w:val="Default"/>
        <w:jc w:val="both"/>
      </w:pPr>
      <w:r>
        <w:t>pokud tuto skutečnost prokáže ředitelce mateřské školy.</w:t>
      </w:r>
    </w:p>
    <w:p w14:paraId="4A8D8EF2" w14:textId="33B1A4EB" w:rsidR="00CA2F7F" w:rsidRDefault="00CA2F7F" w:rsidP="00A8175A">
      <w:pPr>
        <w:pStyle w:val="Default"/>
        <w:jc w:val="both"/>
      </w:pPr>
    </w:p>
    <w:p w14:paraId="41109E64" w14:textId="797FA11B" w:rsidR="00CA2F7F" w:rsidRPr="00DC49E0" w:rsidRDefault="00CA2F7F" w:rsidP="00A8175A">
      <w:pPr>
        <w:pStyle w:val="Default"/>
        <w:jc w:val="both"/>
      </w:pPr>
      <w:r>
        <w:lastRenderedPageBreak/>
        <w:t>S</w:t>
      </w:r>
      <w:r>
        <w:t xml:space="preserve"> účinností od 1. října 2025 </w:t>
      </w:r>
      <w:r>
        <w:t xml:space="preserve">se </w:t>
      </w:r>
      <w:r>
        <w:t>zavádí jedno</w:t>
      </w:r>
      <w:r>
        <w:t>tná</w:t>
      </w:r>
      <w:r>
        <w:t xml:space="preserve"> dávk</w:t>
      </w:r>
      <w:r>
        <w:t>a</w:t>
      </w:r>
      <w:r>
        <w:t xml:space="preserve"> státní sociální pomoci (tzv. </w:t>
      </w:r>
      <w:proofErr w:type="spellStart"/>
      <w:r>
        <w:t>superdávk</w:t>
      </w:r>
      <w:r>
        <w:t>a</w:t>
      </w:r>
      <w:proofErr w:type="spellEnd"/>
      <w:r>
        <w:t>, dále také „DSSP“). Tato dávka nahrazuje čtyři dosavadní příjmově testované sociální dávky, přičemž dochází k začlenění příslušných sociálních dávek do dávky jednotné. DSSP se skládá ze čtyř složek – složka na živobytí (jež v sobě nově zahrnuje původně „opakující se dávky pomoci v hmotné nouzi“), bonus na dítě (původně „přídavek na dítě“), složka na bydlení a pracovní bonus.</w:t>
      </w:r>
    </w:p>
    <w:p w14:paraId="21E496F3" w14:textId="77777777" w:rsidR="00754718" w:rsidRPr="00C6086D" w:rsidRDefault="00754718" w:rsidP="00A8175A">
      <w:pPr>
        <w:pStyle w:val="Default"/>
        <w:jc w:val="both"/>
        <w:rPr>
          <w:rFonts w:cs="Arial"/>
        </w:rPr>
      </w:pPr>
    </w:p>
    <w:p w14:paraId="2F44FDD2" w14:textId="77777777" w:rsidR="00A8175A" w:rsidRDefault="00A8175A" w:rsidP="00A8175A">
      <w:pPr>
        <w:pStyle w:val="Default"/>
        <w:jc w:val="both"/>
        <w:rPr>
          <w:rFonts w:cs="Arial"/>
        </w:rPr>
      </w:pPr>
    </w:p>
    <w:p w14:paraId="58DC4B0F" w14:textId="77777777" w:rsidR="00A8175A" w:rsidRDefault="00A8175A" w:rsidP="00A8175A">
      <w:pPr>
        <w:jc w:val="center"/>
        <w:rPr>
          <w:rFonts w:ascii="Arial" w:hAnsi="Arial" w:cs="Arial"/>
          <w:b/>
          <w:bCs/>
        </w:rPr>
      </w:pPr>
      <w:r w:rsidRPr="00C6086D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>.</w:t>
      </w:r>
    </w:p>
    <w:p w14:paraId="16385DB0" w14:textId="47F0143E" w:rsidR="00A8175A" w:rsidRDefault="00A8175A" w:rsidP="00A8175A">
      <w:pPr>
        <w:jc w:val="both"/>
        <w:rPr>
          <w:rFonts w:ascii="Arial" w:hAnsi="Arial" w:cs="Arial"/>
        </w:rPr>
      </w:pPr>
      <w:r w:rsidRPr="00C6086D">
        <w:rPr>
          <w:rFonts w:ascii="Arial" w:hAnsi="Arial" w:cs="Arial"/>
        </w:rPr>
        <w:t>Zákonnému zástupci dítěte, které nedocházelo do mateřské školy ani jeden den příslušného kalendářního měsíce, mimo prázdninové měsíce, se částka nesnižuje, zůstává ve stejné výši celodenního pobytu</w:t>
      </w:r>
      <w:r w:rsidR="006429B6">
        <w:rPr>
          <w:rFonts w:ascii="Arial" w:hAnsi="Arial" w:cs="Arial"/>
        </w:rPr>
        <w:t>.</w:t>
      </w:r>
    </w:p>
    <w:p w14:paraId="0B6ED73F" w14:textId="77777777" w:rsidR="00A8175A" w:rsidRDefault="00A8175A" w:rsidP="00A8175A">
      <w:pPr>
        <w:jc w:val="both"/>
        <w:rPr>
          <w:rFonts w:ascii="Arial" w:hAnsi="Arial" w:cs="Arial"/>
        </w:rPr>
      </w:pPr>
    </w:p>
    <w:p w14:paraId="3644491B" w14:textId="77777777" w:rsidR="00A8175A" w:rsidRPr="00C6086D" w:rsidRDefault="00A8175A" w:rsidP="00A8175A">
      <w:pPr>
        <w:pStyle w:val="Default"/>
        <w:jc w:val="center"/>
        <w:rPr>
          <w:rFonts w:cs="Arial"/>
        </w:rPr>
      </w:pPr>
      <w:r w:rsidRPr="00C6086D">
        <w:rPr>
          <w:rFonts w:cs="Arial"/>
          <w:b/>
          <w:bCs/>
        </w:rPr>
        <w:t>V.</w:t>
      </w:r>
    </w:p>
    <w:p w14:paraId="1D094288" w14:textId="77777777" w:rsidR="00240397" w:rsidRDefault="00240397" w:rsidP="00A8175A">
      <w:pPr>
        <w:pStyle w:val="Default"/>
        <w:jc w:val="both"/>
      </w:pPr>
      <w:r>
        <w:t xml:space="preserve">Je-li v kalendářním měsíci omezen nebo přerušen provoz mateřské školy, stanovená úplata se snižuje poměrně k omezení nebo přerušení provozu mateřské školy. Pokud omezení nebo přerušení provozu mateřské školy nepřesáhne celkovou dobu 5 vyučovacích dnů, úplata se nesnižuje. V případě přerušení provozu mateřské školy v měsíci červenci nebo srpnu se úplata nehradí. </w:t>
      </w:r>
    </w:p>
    <w:p w14:paraId="6B56BBAD" w14:textId="77777777" w:rsidR="00A8175A" w:rsidRDefault="00A8175A" w:rsidP="00A8175A">
      <w:pPr>
        <w:pStyle w:val="Default"/>
        <w:jc w:val="both"/>
        <w:rPr>
          <w:rFonts w:cs="Arial"/>
        </w:rPr>
      </w:pPr>
    </w:p>
    <w:p w14:paraId="796ADAD9" w14:textId="77777777" w:rsidR="00A8175A" w:rsidRPr="00761181" w:rsidRDefault="00A8175A" w:rsidP="00A8175A">
      <w:pPr>
        <w:pStyle w:val="Default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14:paraId="5415E537" w14:textId="114DDC97" w:rsidR="00A8175A" w:rsidRDefault="00A8175A" w:rsidP="00240397">
      <w:pPr>
        <w:pStyle w:val="Default"/>
        <w:rPr>
          <w:rFonts w:cs="Arial"/>
          <w:b/>
          <w:bCs/>
        </w:rPr>
      </w:pPr>
    </w:p>
    <w:p w14:paraId="67074286" w14:textId="6A70D0BB" w:rsidR="00A8175A" w:rsidRDefault="00A8175A" w:rsidP="00A8175A">
      <w:pPr>
        <w:pStyle w:val="Default"/>
        <w:jc w:val="both"/>
        <w:rPr>
          <w:rFonts w:cs="Arial"/>
        </w:rPr>
      </w:pPr>
      <w:r w:rsidRPr="00C6086D">
        <w:rPr>
          <w:rFonts w:cs="Arial"/>
        </w:rPr>
        <w:t xml:space="preserve">Úplata za kalendářní měsíc je splatná do 15. dne předešlého kalendářního měsíce. </w:t>
      </w:r>
    </w:p>
    <w:p w14:paraId="05048774" w14:textId="19CD27BD" w:rsidR="004F46EE" w:rsidRDefault="004F46EE" w:rsidP="00A8175A">
      <w:pPr>
        <w:pStyle w:val="Default"/>
        <w:jc w:val="both"/>
        <w:rPr>
          <w:rFonts w:cs="Arial"/>
        </w:rPr>
      </w:pPr>
    </w:p>
    <w:p w14:paraId="6E7A32C8" w14:textId="60FB1A8A" w:rsidR="004F46EE" w:rsidRDefault="004F46EE" w:rsidP="00A8175A">
      <w:pPr>
        <w:pStyle w:val="Default"/>
        <w:jc w:val="both"/>
        <w:rPr>
          <w:rFonts w:cs="Arial"/>
        </w:rPr>
      </w:pPr>
    </w:p>
    <w:p w14:paraId="1C3611F4" w14:textId="4CD6F8C2" w:rsidR="004F46EE" w:rsidRDefault="004F46EE" w:rsidP="00A8175A">
      <w:pPr>
        <w:pStyle w:val="Default"/>
        <w:jc w:val="both"/>
        <w:rPr>
          <w:rFonts w:cs="Arial"/>
        </w:rPr>
      </w:pPr>
      <w:r>
        <w:rPr>
          <w:rFonts w:cs="Arial"/>
        </w:rPr>
        <w:t xml:space="preserve">Přílohy: </w:t>
      </w:r>
    </w:p>
    <w:p w14:paraId="6E11F64D" w14:textId="77777777" w:rsidR="00F13875" w:rsidRDefault="00F13875" w:rsidP="00A8175A">
      <w:pPr>
        <w:pStyle w:val="Default"/>
        <w:jc w:val="both"/>
        <w:rPr>
          <w:rFonts w:cs="Arial"/>
        </w:rPr>
      </w:pPr>
    </w:p>
    <w:p w14:paraId="602478D4" w14:textId="368924DE" w:rsidR="00F13875" w:rsidRDefault="00F13875" w:rsidP="00A8175A">
      <w:pPr>
        <w:pStyle w:val="Default"/>
        <w:jc w:val="both"/>
        <w:rPr>
          <w:rFonts w:cs="Arial"/>
          <w:b/>
        </w:rPr>
      </w:pPr>
      <w:r w:rsidRPr="00F13875">
        <w:rPr>
          <w:rFonts w:cs="Arial"/>
          <w:b/>
        </w:rPr>
        <w:t>Zápis č. 5/202</w:t>
      </w:r>
      <w:r w:rsidR="00CA2F7F">
        <w:rPr>
          <w:rFonts w:cs="Arial"/>
          <w:b/>
        </w:rPr>
        <w:t>5</w:t>
      </w:r>
      <w:r w:rsidRPr="00F13875">
        <w:rPr>
          <w:rFonts w:cs="Arial"/>
          <w:b/>
        </w:rPr>
        <w:t xml:space="preserve"> ze zasedání obecního zastupitelstva </w:t>
      </w:r>
    </w:p>
    <w:p w14:paraId="4F2963FE" w14:textId="281CE0DF" w:rsidR="00F13875" w:rsidRPr="00F13875" w:rsidRDefault="00F13875" w:rsidP="00A8175A">
      <w:pPr>
        <w:pStyle w:val="Default"/>
        <w:jc w:val="both"/>
        <w:rPr>
          <w:rFonts w:cs="Arial"/>
          <w:b/>
        </w:rPr>
      </w:pPr>
      <w:r>
        <w:rPr>
          <w:rFonts w:cs="Arial"/>
          <w:b/>
        </w:rPr>
        <w:t>Stanovení výše školného pro školní rok 202</w:t>
      </w:r>
      <w:r w:rsidR="00CA2F7F">
        <w:rPr>
          <w:rFonts w:cs="Arial"/>
          <w:b/>
        </w:rPr>
        <w:t>5</w:t>
      </w:r>
      <w:r>
        <w:rPr>
          <w:rFonts w:cs="Arial"/>
          <w:b/>
        </w:rPr>
        <w:t>/202</w:t>
      </w:r>
      <w:r w:rsidR="00CA2F7F">
        <w:rPr>
          <w:rFonts w:cs="Arial"/>
          <w:b/>
        </w:rPr>
        <w:t>6</w:t>
      </w:r>
    </w:p>
    <w:p w14:paraId="1C8FFCD4" w14:textId="77777777" w:rsidR="00A8175A" w:rsidRDefault="00A8175A" w:rsidP="00A8175A">
      <w:pPr>
        <w:pStyle w:val="Default"/>
        <w:rPr>
          <w:rFonts w:cs="Arial"/>
        </w:rPr>
      </w:pPr>
    </w:p>
    <w:p w14:paraId="5AE304F1" w14:textId="77777777" w:rsidR="00A8175A" w:rsidRDefault="00A8175A" w:rsidP="00A8175A">
      <w:pPr>
        <w:pStyle w:val="Default"/>
        <w:rPr>
          <w:rFonts w:cs="Arial"/>
        </w:rPr>
      </w:pPr>
    </w:p>
    <w:p w14:paraId="524166AB" w14:textId="77777777" w:rsidR="00A8175A" w:rsidRDefault="00A8175A" w:rsidP="00A8175A">
      <w:pPr>
        <w:pStyle w:val="Default"/>
        <w:rPr>
          <w:rFonts w:cs="Arial"/>
        </w:rPr>
      </w:pPr>
    </w:p>
    <w:p w14:paraId="320C9526" w14:textId="77777777" w:rsidR="00A8175A" w:rsidRDefault="00A8175A" w:rsidP="00A8175A">
      <w:pPr>
        <w:pStyle w:val="Default"/>
        <w:rPr>
          <w:rFonts w:cs="Arial"/>
        </w:rPr>
      </w:pPr>
    </w:p>
    <w:p w14:paraId="27C2A348" w14:textId="77777777" w:rsidR="00A8175A" w:rsidRDefault="00A8175A" w:rsidP="00A8175A">
      <w:pPr>
        <w:pStyle w:val="Default"/>
        <w:rPr>
          <w:rFonts w:cs="Arial"/>
        </w:rPr>
      </w:pPr>
    </w:p>
    <w:p w14:paraId="70FEB7C7" w14:textId="77777777" w:rsidR="00A8175A" w:rsidRDefault="00A8175A" w:rsidP="00A8175A">
      <w:pPr>
        <w:pStyle w:val="Default"/>
        <w:rPr>
          <w:rFonts w:cs="Arial"/>
        </w:rPr>
      </w:pPr>
    </w:p>
    <w:p w14:paraId="76DD3717" w14:textId="77777777" w:rsidR="00A8175A" w:rsidRDefault="00A8175A" w:rsidP="00A8175A">
      <w:pPr>
        <w:pStyle w:val="Default"/>
        <w:rPr>
          <w:rFonts w:cs="Arial"/>
        </w:rPr>
      </w:pPr>
    </w:p>
    <w:p w14:paraId="1F97597B" w14:textId="77777777" w:rsidR="00A8175A" w:rsidRDefault="00A8175A" w:rsidP="00A8175A">
      <w:pPr>
        <w:pStyle w:val="Default"/>
        <w:rPr>
          <w:rFonts w:cs="Arial"/>
        </w:rPr>
      </w:pPr>
    </w:p>
    <w:p w14:paraId="0C507B5C" w14:textId="77777777" w:rsidR="00A8175A" w:rsidRDefault="00A8175A" w:rsidP="00A8175A">
      <w:pPr>
        <w:pStyle w:val="Default"/>
        <w:rPr>
          <w:rFonts w:cs="Arial"/>
        </w:rPr>
      </w:pPr>
    </w:p>
    <w:p w14:paraId="06992A54" w14:textId="77777777" w:rsidR="00A8175A" w:rsidRDefault="00A8175A" w:rsidP="00A8175A">
      <w:pPr>
        <w:pStyle w:val="Default"/>
        <w:rPr>
          <w:rFonts w:cs="Arial"/>
        </w:rPr>
      </w:pPr>
    </w:p>
    <w:p w14:paraId="3CF98AF1" w14:textId="77777777" w:rsidR="00A8175A" w:rsidRDefault="00A8175A" w:rsidP="00A8175A">
      <w:pPr>
        <w:pStyle w:val="Default"/>
        <w:rPr>
          <w:rFonts w:cs="Arial"/>
        </w:rPr>
      </w:pPr>
    </w:p>
    <w:p w14:paraId="4C5422C1" w14:textId="1AF5E827" w:rsidR="00A8175A" w:rsidRDefault="00A8175A" w:rsidP="00A8175A">
      <w:pPr>
        <w:pStyle w:val="Default"/>
        <w:rPr>
          <w:rFonts w:cs="Arial"/>
        </w:rPr>
      </w:pPr>
      <w:r>
        <w:rPr>
          <w:rFonts w:cs="Arial"/>
        </w:rPr>
        <w:t xml:space="preserve">V Milčicích </w:t>
      </w:r>
      <w:r w:rsidR="00CA2F7F">
        <w:rPr>
          <w:rFonts w:cs="Arial"/>
        </w:rPr>
        <w:t>1</w:t>
      </w:r>
      <w:r w:rsidR="009F414A">
        <w:rPr>
          <w:rFonts w:cs="Arial"/>
        </w:rPr>
        <w:t>.</w:t>
      </w:r>
      <w:r w:rsidR="003B270B">
        <w:rPr>
          <w:rFonts w:cs="Arial"/>
        </w:rPr>
        <w:t xml:space="preserve"> </w:t>
      </w:r>
      <w:r w:rsidR="00CA2F7F">
        <w:rPr>
          <w:rFonts w:cs="Arial"/>
        </w:rPr>
        <w:t>9</w:t>
      </w:r>
      <w:r>
        <w:rPr>
          <w:rFonts w:cs="Arial"/>
        </w:rPr>
        <w:t>. 202</w:t>
      </w:r>
      <w:r w:rsidR="00DC49E0">
        <w:rPr>
          <w:rFonts w:cs="Arial"/>
        </w:rPr>
        <w:t>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52C632D5" w14:textId="16047F33" w:rsidR="00A8175A" w:rsidRDefault="00240397" w:rsidP="00240397">
      <w:pPr>
        <w:pStyle w:val="Default"/>
        <w:ind w:left="5664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Bc. </w:t>
      </w:r>
      <w:r w:rsidR="006429B6">
        <w:rPr>
          <w:rFonts w:cs="Arial"/>
        </w:rPr>
        <w:t>Kristýna Doubravová</w:t>
      </w:r>
      <w:r>
        <w:rPr>
          <w:rFonts w:cs="Arial"/>
        </w:rPr>
        <w:t>, ředitelka MŠ</w:t>
      </w:r>
    </w:p>
    <w:p w14:paraId="189904BA" w14:textId="1B5E5FB9" w:rsidR="00A8175A" w:rsidRPr="00DA268D" w:rsidRDefault="00A8175A" w:rsidP="00A8175A">
      <w:pPr>
        <w:pStyle w:val="Default"/>
        <w:rPr>
          <w:rFonts w:cs="Arial"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</w:t>
      </w:r>
    </w:p>
    <w:p w14:paraId="415703E6" w14:textId="77777777" w:rsidR="00682C90" w:rsidRDefault="00682C90">
      <w:pPr>
        <w:rPr>
          <w:rFonts w:hint="eastAsia"/>
        </w:rPr>
      </w:pPr>
    </w:p>
    <w:sectPr w:rsidR="0068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A"/>
    <w:rsid w:val="00240397"/>
    <w:rsid w:val="003B270B"/>
    <w:rsid w:val="003D6A09"/>
    <w:rsid w:val="00480EDF"/>
    <w:rsid w:val="004F46EE"/>
    <w:rsid w:val="006429B6"/>
    <w:rsid w:val="00682C90"/>
    <w:rsid w:val="00754718"/>
    <w:rsid w:val="0091358D"/>
    <w:rsid w:val="009F414A"/>
    <w:rsid w:val="00A8175A"/>
    <w:rsid w:val="00CA2F7F"/>
    <w:rsid w:val="00DC49E0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6B27"/>
  <w15:chartTrackingRefBased/>
  <w15:docId w15:val="{D496F36E-1331-45D9-AAE8-69691BA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175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8175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8175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ee2b4-426e-46e0-92b9-783b3bf46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D5C94F046744AB1C2312BBC587B48" ma:contentTypeVersion="13" ma:contentTypeDescription="Vytvoří nový dokument" ma:contentTypeScope="" ma:versionID="cbf4eadc28d177978252869899d45e57">
  <xsd:schema xmlns:xsd="http://www.w3.org/2001/XMLSchema" xmlns:xs="http://www.w3.org/2001/XMLSchema" xmlns:p="http://schemas.microsoft.com/office/2006/metadata/properties" xmlns:ns3="983ee2b4-426e-46e0-92b9-783b3bf46103" targetNamespace="http://schemas.microsoft.com/office/2006/metadata/properties" ma:root="true" ma:fieldsID="b957401bef67199e04802b87c4dedb1c" ns3:_="">
    <xsd:import namespace="983ee2b4-426e-46e0-92b9-783b3bf46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ee2b4-426e-46e0-92b9-783b3bf4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F558C-817C-4C3B-92C6-390767C5389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83ee2b4-426e-46e0-92b9-783b3bf4610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2F144E-377A-41AE-B274-72D294B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ee2b4-426e-46e0-92b9-783b3bf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37C35-2B54-4D21-B6C9-A93C18C44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Plíšková</dc:creator>
  <cp:keywords/>
  <dc:description/>
  <cp:lastModifiedBy>Kristýna Doubravová</cp:lastModifiedBy>
  <cp:revision>3</cp:revision>
  <cp:lastPrinted>2025-08-28T08:26:00Z</cp:lastPrinted>
  <dcterms:created xsi:type="dcterms:W3CDTF">2025-08-27T20:10:00Z</dcterms:created>
  <dcterms:modified xsi:type="dcterms:W3CDTF">2025-08-28T08:26:00Z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0x010100322D5C94F046744AB1C2312BBC587B48</vt:lpwstr>
  </property>
</Properties>
</file>